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ECB2C" w14:textId="222E5751" w:rsidR="009D7644" w:rsidRPr="001D324A" w:rsidRDefault="00C15CA4">
      <w:pPr>
        <w:rPr>
          <w:rFonts w:ascii="Book Antiqua" w:hAnsi="Book Antiqua"/>
        </w:rPr>
      </w:pPr>
      <w:r w:rsidRPr="001D324A">
        <w:rPr>
          <w:rFonts w:ascii="Book Antiqua" w:hAnsi="Book Antiqua"/>
        </w:rPr>
        <w:t>201</w:t>
      </w:r>
      <w:r w:rsidR="00EF0730" w:rsidRPr="001D324A">
        <w:rPr>
          <w:rFonts w:ascii="Book Antiqua" w:hAnsi="Book Antiqua"/>
        </w:rPr>
        <w:t>9032000</w:t>
      </w:r>
      <w:r w:rsidR="00A765D3" w:rsidRPr="001D324A">
        <w:rPr>
          <w:rFonts w:ascii="Book Antiqua" w:hAnsi="Book Antiqua"/>
        </w:rPr>
        <w:t xml:space="preserve"> </w:t>
      </w:r>
      <w:r w:rsidR="00A765D3" w:rsidRPr="001D324A">
        <w:rPr>
          <w:rFonts w:ascii="Book Antiqua" w:hAnsi="Book Antiqua"/>
        </w:rPr>
        <w:t>國立臺灣大學生物資源暨農學院</w:t>
      </w:r>
      <w:r w:rsidR="00A765D3" w:rsidRPr="001D324A">
        <w:rPr>
          <w:rFonts w:ascii="Book Antiqua" w:hAnsi="Book Antiqua"/>
        </w:rPr>
        <w:t xml:space="preserve"> </w:t>
      </w:r>
      <w:r w:rsidR="00EF0730" w:rsidRPr="001D324A">
        <w:rPr>
          <w:rFonts w:ascii="Book Antiqua" w:hAnsi="Book Antiqua"/>
        </w:rPr>
        <w:t>正瀚生技創新獎暨獎學金設置辦法</w:t>
      </w:r>
    </w:p>
    <w:p w14:paraId="2C387F97" w14:textId="0E838BA4" w:rsidR="00A765D3" w:rsidRPr="001D324A" w:rsidRDefault="00A765D3">
      <w:pPr>
        <w:rPr>
          <w:rFonts w:ascii="Book Antiqua" w:hAnsi="Book Antiqua"/>
        </w:rPr>
      </w:pPr>
    </w:p>
    <w:p w14:paraId="58BE454D" w14:textId="77777777" w:rsidR="00A765D3" w:rsidRPr="001D324A" w:rsidRDefault="00A765D3" w:rsidP="00A765D3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1D324A">
        <w:rPr>
          <w:rFonts w:ascii="Book Antiqua" w:hAnsi="Book Antiqua"/>
          <w:b/>
          <w:bCs/>
          <w:sz w:val="28"/>
          <w:szCs w:val="28"/>
        </w:rPr>
        <w:t>College of Bioresources and Agriculture, National Taiwan University</w:t>
      </w:r>
    </w:p>
    <w:p w14:paraId="6790C680" w14:textId="72F7281F" w:rsidR="00A765D3" w:rsidRPr="001D324A" w:rsidRDefault="00240DC3" w:rsidP="00A765D3">
      <w:pPr>
        <w:jc w:val="center"/>
        <w:rPr>
          <w:rFonts w:ascii="Book Antiqua" w:hAnsi="Book Antiqua"/>
          <w:b/>
          <w:bCs/>
          <w:sz w:val="28"/>
          <w:szCs w:val="28"/>
        </w:rPr>
      </w:pPr>
      <w:bookmarkStart w:id="0" w:name="_Hlk44845523"/>
      <w:bookmarkStart w:id="1" w:name="_Hlk44843111"/>
      <w:r w:rsidRPr="001D324A">
        <w:rPr>
          <w:rFonts w:ascii="Book Antiqua" w:hAnsi="Book Antiqua"/>
          <w:b/>
          <w:bCs/>
          <w:sz w:val="28"/>
          <w:szCs w:val="28"/>
        </w:rPr>
        <w:t>C</w:t>
      </w:r>
      <w:r w:rsidR="00F92FBD">
        <w:rPr>
          <w:rFonts w:ascii="Book Antiqua" w:hAnsi="Book Antiqua"/>
          <w:b/>
          <w:bCs/>
          <w:sz w:val="28"/>
          <w:szCs w:val="28"/>
        </w:rPr>
        <w:t>heng-</w:t>
      </w:r>
      <w:r w:rsidRPr="001D324A">
        <w:rPr>
          <w:rFonts w:ascii="Book Antiqua" w:hAnsi="Book Antiqua"/>
          <w:b/>
          <w:bCs/>
          <w:sz w:val="28"/>
          <w:szCs w:val="28"/>
        </w:rPr>
        <w:t>H</w:t>
      </w:r>
      <w:r w:rsidR="00F92FBD">
        <w:rPr>
          <w:rFonts w:ascii="Book Antiqua" w:hAnsi="Book Antiqua"/>
          <w:b/>
          <w:bCs/>
          <w:sz w:val="28"/>
          <w:szCs w:val="28"/>
        </w:rPr>
        <w:t>an</w:t>
      </w:r>
      <w:r w:rsidRPr="001D324A">
        <w:rPr>
          <w:rFonts w:ascii="Book Antiqua" w:hAnsi="Book Antiqua"/>
          <w:b/>
          <w:bCs/>
          <w:sz w:val="28"/>
          <w:szCs w:val="28"/>
        </w:rPr>
        <w:t xml:space="preserve"> </w:t>
      </w:r>
      <w:bookmarkEnd w:id="0"/>
      <w:r w:rsidR="00166450">
        <w:rPr>
          <w:rFonts w:ascii="Book Antiqua" w:hAnsi="Book Antiqua"/>
          <w:b/>
          <w:bCs/>
          <w:sz w:val="28"/>
          <w:szCs w:val="28"/>
        </w:rPr>
        <w:t>Biotechnology Innovation Award and Scholarship</w:t>
      </w:r>
    </w:p>
    <w:bookmarkEnd w:id="1"/>
    <w:p w14:paraId="47112E47" w14:textId="7F4C0267" w:rsidR="00A765D3" w:rsidRPr="001D324A" w:rsidRDefault="00E20BE3" w:rsidP="00A765D3">
      <w:pPr>
        <w:jc w:val="right"/>
        <w:rPr>
          <w:rFonts w:ascii="Book Antiqua" w:hAnsi="Book Antiqua"/>
          <w:sz w:val="18"/>
          <w:szCs w:val="18"/>
        </w:rPr>
      </w:pPr>
      <w:r w:rsidRPr="001D324A">
        <w:rPr>
          <w:rFonts w:ascii="Book Antiqua" w:hAnsi="Book Antiqua"/>
          <w:sz w:val="18"/>
          <w:szCs w:val="18"/>
        </w:rPr>
        <w:t xml:space="preserve">Passed and </w:t>
      </w:r>
      <w:r w:rsidR="00A765D3" w:rsidRPr="001D324A">
        <w:rPr>
          <w:rFonts w:ascii="Book Antiqua" w:hAnsi="Book Antiqua"/>
          <w:sz w:val="18"/>
          <w:szCs w:val="18"/>
        </w:rPr>
        <w:t>Approved at the 2</w:t>
      </w:r>
      <w:r w:rsidR="00240DC3" w:rsidRPr="001D324A">
        <w:rPr>
          <w:rFonts w:ascii="Book Antiqua" w:hAnsi="Book Antiqua"/>
          <w:sz w:val="18"/>
          <w:szCs w:val="18"/>
        </w:rPr>
        <w:t>62</w:t>
      </w:r>
      <w:r w:rsidR="00A765D3" w:rsidRPr="001D324A">
        <w:rPr>
          <w:rFonts w:ascii="Book Antiqua" w:hAnsi="Book Antiqua"/>
          <w:sz w:val="18"/>
          <w:szCs w:val="18"/>
        </w:rPr>
        <w:t xml:space="preserve">th Meeting of the </w:t>
      </w:r>
      <w:r w:rsidR="00240DC3" w:rsidRPr="001D324A">
        <w:rPr>
          <w:rFonts w:ascii="Book Antiqua" w:hAnsi="Book Antiqua"/>
          <w:sz w:val="18"/>
          <w:szCs w:val="18"/>
        </w:rPr>
        <w:t xml:space="preserve">CBA-NTU </w:t>
      </w:r>
      <w:r w:rsidR="00A765D3" w:rsidRPr="001D324A">
        <w:rPr>
          <w:rFonts w:ascii="Book Antiqua" w:hAnsi="Book Antiqua"/>
          <w:sz w:val="18"/>
          <w:szCs w:val="18"/>
        </w:rPr>
        <w:t xml:space="preserve">Committee </w:t>
      </w:r>
      <w:r w:rsidR="00240DC3" w:rsidRPr="001D324A">
        <w:rPr>
          <w:rFonts w:ascii="Book Antiqua" w:hAnsi="Book Antiqua"/>
          <w:sz w:val="18"/>
          <w:szCs w:val="18"/>
        </w:rPr>
        <w:t>Mar</w:t>
      </w:r>
      <w:r w:rsidR="00A765D3" w:rsidRPr="001D324A">
        <w:rPr>
          <w:rFonts w:ascii="Book Antiqua" w:hAnsi="Book Antiqua"/>
          <w:sz w:val="18"/>
          <w:szCs w:val="18"/>
        </w:rPr>
        <w:t xml:space="preserve">. </w:t>
      </w:r>
      <w:r w:rsidR="00240DC3" w:rsidRPr="001D324A">
        <w:rPr>
          <w:rFonts w:ascii="Book Antiqua" w:hAnsi="Book Antiqua"/>
          <w:sz w:val="18"/>
          <w:szCs w:val="18"/>
        </w:rPr>
        <w:t>30</w:t>
      </w:r>
      <w:r w:rsidR="00A765D3" w:rsidRPr="001D324A">
        <w:rPr>
          <w:rFonts w:ascii="Book Antiqua" w:hAnsi="Book Antiqua"/>
          <w:sz w:val="18"/>
          <w:szCs w:val="18"/>
        </w:rPr>
        <w:t>, 20</w:t>
      </w:r>
      <w:r w:rsidR="00240DC3" w:rsidRPr="001D324A">
        <w:rPr>
          <w:rFonts w:ascii="Book Antiqua" w:hAnsi="Book Antiqua"/>
          <w:sz w:val="18"/>
          <w:szCs w:val="18"/>
        </w:rPr>
        <w:t>20</w:t>
      </w:r>
    </w:p>
    <w:p w14:paraId="6DEBBC65" w14:textId="07A75A38" w:rsidR="00C15CA4" w:rsidRPr="001D324A" w:rsidRDefault="00C15CA4">
      <w:pPr>
        <w:rPr>
          <w:rFonts w:ascii="Book Antiqua" w:hAnsi="Book Antiqua"/>
        </w:rPr>
      </w:pPr>
    </w:p>
    <w:p w14:paraId="7CEE22A2" w14:textId="20EFDEC2" w:rsidR="006053E7" w:rsidRDefault="00D43DF5" w:rsidP="006053E7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1D324A">
        <w:rPr>
          <w:rFonts w:ascii="Book Antiqua" w:hAnsi="Book Antiqua"/>
          <w:sz w:val="24"/>
          <w:szCs w:val="24"/>
        </w:rPr>
        <w:t>Purpose:</w:t>
      </w:r>
      <w:r w:rsidR="00075C36" w:rsidRPr="001D324A">
        <w:rPr>
          <w:rFonts w:ascii="Book Antiqua" w:hAnsi="Book Antiqua"/>
        </w:rPr>
        <w:t xml:space="preserve"> </w:t>
      </w:r>
      <w:r w:rsidR="00F01148">
        <w:rPr>
          <w:rFonts w:ascii="Book Antiqua" w:hAnsi="Book Antiqua"/>
        </w:rPr>
        <w:t xml:space="preserve">The </w:t>
      </w:r>
      <w:r w:rsidR="00F01148" w:rsidRPr="00F01148">
        <w:rPr>
          <w:rFonts w:ascii="Book Antiqua" w:hAnsi="Book Antiqua"/>
          <w:sz w:val="24"/>
          <w:szCs w:val="24"/>
        </w:rPr>
        <w:t xml:space="preserve">Cheng-Han </w:t>
      </w:r>
      <w:r w:rsidR="00166450">
        <w:rPr>
          <w:rFonts w:ascii="Book Antiqua" w:hAnsi="Book Antiqua"/>
          <w:sz w:val="24"/>
          <w:szCs w:val="24"/>
        </w:rPr>
        <w:t>Biotechnology Innovation Award</w:t>
      </w:r>
      <w:r w:rsidR="006053E7">
        <w:rPr>
          <w:rFonts w:ascii="Book Antiqua" w:hAnsi="Book Antiqua"/>
          <w:sz w:val="24"/>
          <w:szCs w:val="24"/>
        </w:rPr>
        <w:t xml:space="preserve">, funded by </w:t>
      </w:r>
      <w:r w:rsidR="00F01148" w:rsidRPr="00F01148">
        <w:rPr>
          <w:rFonts w:ascii="Book Antiqua" w:hAnsi="Book Antiqua"/>
          <w:sz w:val="24"/>
          <w:szCs w:val="24"/>
        </w:rPr>
        <w:t>Cheng-Han Biotech</w:t>
      </w:r>
      <w:r w:rsidR="006053E7">
        <w:rPr>
          <w:rFonts w:ascii="Book Antiqua" w:hAnsi="Book Antiqua"/>
          <w:sz w:val="24"/>
          <w:szCs w:val="24"/>
        </w:rPr>
        <w:t xml:space="preserve">, </w:t>
      </w:r>
      <w:r w:rsidR="00075C36" w:rsidRPr="001D324A">
        <w:rPr>
          <w:rFonts w:ascii="Book Antiqua" w:hAnsi="Book Antiqua"/>
          <w:sz w:val="24"/>
          <w:szCs w:val="24"/>
        </w:rPr>
        <w:t xml:space="preserve">has been established </w:t>
      </w:r>
      <w:r w:rsidR="00B72F04">
        <w:rPr>
          <w:rFonts w:ascii="Book Antiqua" w:hAnsi="Book Antiqua"/>
          <w:sz w:val="24"/>
          <w:szCs w:val="24"/>
        </w:rPr>
        <w:t>by</w:t>
      </w:r>
      <w:r w:rsidR="00F01148">
        <w:rPr>
          <w:rFonts w:ascii="Book Antiqua" w:hAnsi="Book Antiqua"/>
          <w:sz w:val="24"/>
          <w:szCs w:val="24"/>
        </w:rPr>
        <w:t xml:space="preserve"> the College of </w:t>
      </w:r>
      <w:r w:rsidR="00F01148" w:rsidRPr="001D324A">
        <w:rPr>
          <w:rFonts w:ascii="Book Antiqua" w:hAnsi="Book Antiqua"/>
          <w:sz w:val="24"/>
          <w:szCs w:val="24"/>
        </w:rPr>
        <w:t>Bioresources and Agricult</w:t>
      </w:r>
      <w:r w:rsidR="00F01148">
        <w:rPr>
          <w:rFonts w:ascii="Book Antiqua" w:hAnsi="Book Antiqua"/>
          <w:sz w:val="24"/>
          <w:szCs w:val="24"/>
        </w:rPr>
        <w:t>ure (CBA)</w:t>
      </w:r>
      <w:r w:rsidR="00F01148" w:rsidRPr="001D324A">
        <w:rPr>
          <w:rFonts w:ascii="Book Antiqua" w:hAnsi="Book Antiqua"/>
          <w:sz w:val="24"/>
          <w:szCs w:val="24"/>
        </w:rPr>
        <w:t xml:space="preserve"> </w:t>
      </w:r>
      <w:r w:rsidR="00F01148">
        <w:rPr>
          <w:rFonts w:ascii="Book Antiqua" w:hAnsi="Book Antiqua"/>
          <w:sz w:val="24"/>
          <w:szCs w:val="24"/>
        </w:rPr>
        <w:t xml:space="preserve">at National Taiwan University (NTU) </w:t>
      </w:r>
      <w:r w:rsidR="00075C36" w:rsidRPr="001D324A">
        <w:rPr>
          <w:rFonts w:ascii="Book Antiqua" w:hAnsi="Book Antiqua"/>
          <w:sz w:val="24"/>
          <w:szCs w:val="24"/>
        </w:rPr>
        <w:t>to recognize students</w:t>
      </w:r>
      <w:r w:rsidR="006053E7">
        <w:rPr>
          <w:rFonts w:ascii="Book Antiqua" w:hAnsi="Book Antiqua"/>
          <w:sz w:val="24"/>
          <w:szCs w:val="24"/>
        </w:rPr>
        <w:t xml:space="preserve"> who are enrolled </w:t>
      </w:r>
      <w:r w:rsidR="00F01148">
        <w:rPr>
          <w:rFonts w:ascii="Book Antiqua" w:hAnsi="Book Antiqua"/>
          <w:sz w:val="24"/>
          <w:szCs w:val="24"/>
        </w:rPr>
        <w:t xml:space="preserve">in </w:t>
      </w:r>
      <w:r w:rsidR="00F01148">
        <w:rPr>
          <w:rFonts w:ascii="Book Antiqua" w:hAnsi="Book Antiqua" w:hint="eastAsia"/>
          <w:sz w:val="24"/>
          <w:szCs w:val="24"/>
        </w:rPr>
        <w:t>Na</w:t>
      </w:r>
      <w:r w:rsidR="00F01148">
        <w:rPr>
          <w:rFonts w:ascii="Book Antiqua" w:hAnsi="Book Antiqua"/>
          <w:sz w:val="24"/>
          <w:szCs w:val="24"/>
        </w:rPr>
        <w:t>tional Taiwan University</w:t>
      </w:r>
      <w:r w:rsidR="006053E7">
        <w:rPr>
          <w:rFonts w:ascii="Book Antiqua" w:hAnsi="Book Antiqua"/>
          <w:sz w:val="24"/>
          <w:szCs w:val="24"/>
        </w:rPr>
        <w:t xml:space="preserve"> and participate in research and innovation activities in the area of agriculture and biotech</w:t>
      </w:r>
      <w:r w:rsidR="00075C36" w:rsidRPr="001D324A">
        <w:rPr>
          <w:rFonts w:ascii="Book Antiqua" w:hAnsi="Book Antiqua"/>
          <w:sz w:val="24"/>
          <w:szCs w:val="24"/>
        </w:rPr>
        <w:t>.</w:t>
      </w:r>
      <w:r w:rsidRPr="001D324A">
        <w:rPr>
          <w:rFonts w:ascii="Book Antiqua" w:hAnsi="Book Antiqua"/>
          <w:sz w:val="24"/>
          <w:szCs w:val="24"/>
        </w:rPr>
        <w:t xml:space="preserve"> </w:t>
      </w:r>
    </w:p>
    <w:p w14:paraId="587B9E48" w14:textId="77777777" w:rsidR="00B72F04" w:rsidRDefault="00B72F04" w:rsidP="00B72F04">
      <w:pPr>
        <w:pStyle w:val="ListParagraph"/>
        <w:jc w:val="both"/>
        <w:rPr>
          <w:rFonts w:ascii="Book Antiqua" w:hAnsi="Book Antiqua"/>
          <w:sz w:val="24"/>
          <w:szCs w:val="24"/>
        </w:rPr>
      </w:pPr>
    </w:p>
    <w:p w14:paraId="584CB3DB" w14:textId="545995E1" w:rsidR="00F01148" w:rsidRDefault="00F01148" w:rsidP="006053E7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areas of innovation and exploration in agriculture and bio-tech include:</w:t>
      </w:r>
    </w:p>
    <w:p w14:paraId="0BD7C803" w14:textId="75016260" w:rsidR="00F01148" w:rsidRDefault="00B72F04" w:rsidP="00F01148">
      <w:pPr>
        <w:pStyle w:val="ListParagraph"/>
        <w:numPr>
          <w:ilvl w:val="0"/>
          <w:numId w:val="6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Fundamental Theory: basic</w:t>
      </w:r>
      <w:r w:rsidR="00F01148">
        <w:rPr>
          <w:rFonts w:ascii="Book Antiqua" w:hAnsi="Book Antiqua"/>
          <w:sz w:val="24"/>
          <w:szCs w:val="24"/>
        </w:rPr>
        <w:t xml:space="preserve"> research to explore new knowledge and phenomena  </w:t>
      </w:r>
    </w:p>
    <w:p w14:paraId="28A520AD" w14:textId="53BC6AFC" w:rsidR="00F01148" w:rsidRDefault="00F01148" w:rsidP="00F01148">
      <w:pPr>
        <w:pStyle w:val="ListParagraph"/>
        <w:numPr>
          <w:ilvl w:val="0"/>
          <w:numId w:val="6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Applied Innovation: applied research to solve issues in agriculture </w:t>
      </w:r>
    </w:p>
    <w:p w14:paraId="09E5684D" w14:textId="77777777" w:rsidR="00E20BE3" w:rsidRPr="001D324A" w:rsidRDefault="00E20BE3" w:rsidP="00E20BE3">
      <w:pPr>
        <w:pStyle w:val="ListParagraph"/>
        <w:rPr>
          <w:rFonts w:ascii="Book Antiqua" w:hAnsi="Book Antiqua"/>
          <w:sz w:val="24"/>
          <w:szCs w:val="24"/>
        </w:rPr>
      </w:pPr>
    </w:p>
    <w:p w14:paraId="319B16BA" w14:textId="6BC19868" w:rsidR="00470174" w:rsidRDefault="00470174" w:rsidP="005F4CA9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To be eligible for this scholarship, an applicant must:</w:t>
      </w:r>
    </w:p>
    <w:p w14:paraId="269B9ABA" w14:textId="2DD495C2" w:rsidR="005F4CA9" w:rsidRPr="00470174" w:rsidRDefault="00470174" w:rsidP="00470174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Currently </w:t>
      </w:r>
      <w:r w:rsidR="00366721">
        <w:rPr>
          <w:rFonts w:ascii="Book Antiqua" w:hAnsi="Book Antiqua"/>
          <w:sz w:val="24"/>
          <w:szCs w:val="24"/>
        </w:rPr>
        <w:t xml:space="preserve">be </w:t>
      </w:r>
      <w:r>
        <w:rPr>
          <w:rFonts w:ascii="Book Antiqua" w:hAnsi="Book Antiqua"/>
          <w:sz w:val="24"/>
          <w:szCs w:val="24"/>
        </w:rPr>
        <w:t xml:space="preserve">enrolled as a student </w:t>
      </w:r>
      <w:r w:rsidR="00F01148">
        <w:rPr>
          <w:rFonts w:ascii="Book Antiqua" w:hAnsi="Book Antiqua"/>
          <w:sz w:val="24"/>
          <w:szCs w:val="24"/>
        </w:rPr>
        <w:t>at the NTU (the student status must be valid at the time of application, including those will be graduating in 2020)</w:t>
      </w:r>
      <w:r>
        <w:rPr>
          <w:rFonts w:ascii="Book Antiqua" w:hAnsi="Book Antiqua"/>
          <w:sz w:val="24"/>
          <w:szCs w:val="24"/>
        </w:rPr>
        <w:t>.</w:t>
      </w:r>
    </w:p>
    <w:p w14:paraId="28DC3ED3" w14:textId="4587A8DA" w:rsidR="009F1BD7" w:rsidRPr="009F1BD7" w:rsidRDefault="00366721" w:rsidP="009F1BD7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Have a</w:t>
      </w:r>
      <w:r w:rsidR="005F4CA9" w:rsidRPr="001D324A">
        <w:rPr>
          <w:rFonts w:ascii="Book Antiqua" w:hAnsi="Book Antiqua"/>
          <w:sz w:val="24"/>
          <w:szCs w:val="24"/>
        </w:rPr>
        <w:t xml:space="preserve"> demonstrated track record </w:t>
      </w:r>
      <w:r w:rsidR="00470174">
        <w:rPr>
          <w:rFonts w:ascii="Book Antiqua" w:hAnsi="Book Antiqua"/>
          <w:sz w:val="24"/>
          <w:szCs w:val="24"/>
        </w:rPr>
        <w:t xml:space="preserve">of conducting </w:t>
      </w:r>
      <w:r w:rsidR="006053E7">
        <w:rPr>
          <w:rFonts w:ascii="Book Antiqua" w:hAnsi="Book Antiqua"/>
          <w:sz w:val="24"/>
          <w:szCs w:val="24"/>
        </w:rPr>
        <w:t xml:space="preserve">either fundamental or applied </w:t>
      </w:r>
      <w:r w:rsidR="00470174">
        <w:rPr>
          <w:rFonts w:ascii="Book Antiqua" w:hAnsi="Book Antiqua"/>
          <w:sz w:val="24"/>
          <w:szCs w:val="24"/>
        </w:rPr>
        <w:t>research in agricultur</w:t>
      </w:r>
      <w:r w:rsidR="006053E7">
        <w:rPr>
          <w:rFonts w:ascii="Book Antiqua" w:hAnsi="Book Antiqua"/>
          <w:sz w:val="24"/>
          <w:szCs w:val="24"/>
        </w:rPr>
        <w:t>e</w:t>
      </w:r>
      <w:r w:rsidR="00470174">
        <w:rPr>
          <w:rFonts w:ascii="Book Antiqua" w:hAnsi="Book Antiqua"/>
          <w:sz w:val="24"/>
          <w:szCs w:val="24"/>
        </w:rPr>
        <w:t xml:space="preserve"> and bio-technology with focuses on the following areas: </w:t>
      </w:r>
      <w:r w:rsidR="001B29E7" w:rsidRPr="00470174">
        <w:rPr>
          <w:rFonts w:ascii="Book Antiqua" w:hAnsi="Book Antiqua"/>
          <w:sz w:val="24"/>
          <w:szCs w:val="24"/>
        </w:rPr>
        <w:t>plant biotechnology, plant physiology, crop genetics and breeding, crop growth and development, crop cultivation, forest and environment, horticulture and landscape, plant protection</w:t>
      </w:r>
      <w:r w:rsidR="00470174">
        <w:rPr>
          <w:rFonts w:ascii="Book Antiqua" w:hAnsi="Book Antiqua"/>
          <w:sz w:val="24"/>
          <w:szCs w:val="24"/>
        </w:rPr>
        <w:t xml:space="preserve">, </w:t>
      </w:r>
      <w:r w:rsidR="001B29E7" w:rsidRPr="00470174">
        <w:rPr>
          <w:rFonts w:ascii="Book Antiqua" w:hAnsi="Book Antiqua"/>
          <w:sz w:val="24"/>
          <w:szCs w:val="24"/>
        </w:rPr>
        <w:t>fertilizer</w:t>
      </w:r>
      <w:r w:rsidR="00470174">
        <w:rPr>
          <w:rFonts w:ascii="Book Antiqua" w:hAnsi="Book Antiqua"/>
          <w:sz w:val="24"/>
          <w:szCs w:val="24"/>
        </w:rPr>
        <w:t>,</w:t>
      </w:r>
      <w:r w:rsidR="001B29E7" w:rsidRPr="00470174">
        <w:rPr>
          <w:rFonts w:ascii="Book Antiqua" w:hAnsi="Book Antiqua"/>
          <w:sz w:val="24"/>
          <w:szCs w:val="24"/>
        </w:rPr>
        <w:t xml:space="preserve"> and soil</w:t>
      </w:r>
      <w:r w:rsidR="00470174">
        <w:rPr>
          <w:rFonts w:ascii="Book Antiqua" w:hAnsi="Book Antiqua"/>
          <w:sz w:val="24"/>
          <w:szCs w:val="24"/>
        </w:rPr>
        <w:t xml:space="preserve"> quality</w:t>
      </w:r>
      <w:r w:rsidR="001B29E7" w:rsidRPr="00470174">
        <w:rPr>
          <w:rFonts w:ascii="Book Antiqua" w:hAnsi="Book Antiqua"/>
          <w:sz w:val="24"/>
          <w:szCs w:val="24"/>
        </w:rPr>
        <w:t>.</w:t>
      </w:r>
      <w:r w:rsidR="005F4CA9" w:rsidRPr="00470174">
        <w:rPr>
          <w:rFonts w:ascii="Book Antiqua" w:hAnsi="Book Antiqua"/>
        </w:rPr>
        <w:t xml:space="preserve"> </w:t>
      </w:r>
    </w:p>
    <w:p w14:paraId="52457943" w14:textId="50C9D300" w:rsidR="009F1BD7" w:rsidRPr="009F1BD7" w:rsidRDefault="00366721" w:rsidP="009F1BD7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Be</w:t>
      </w:r>
      <w:r w:rsidR="009F1BD7">
        <w:rPr>
          <w:rFonts w:ascii="Book Antiqua" w:hAnsi="Book Antiqua"/>
          <w:sz w:val="24"/>
          <w:szCs w:val="24"/>
        </w:rPr>
        <w:t xml:space="preserve"> an individual or a research team. If an individual applicant is a member of a research team, the applicant has to contribute to more than 25% of the research effort. </w:t>
      </w:r>
    </w:p>
    <w:p w14:paraId="020176BA" w14:textId="77777777" w:rsidR="00470174" w:rsidRPr="00470174" w:rsidRDefault="00470174" w:rsidP="00470174">
      <w:pPr>
        <w:pStyle w:val="ListParagraph"/>
        <w:ind w:left="1080"/>
        <w:rPr>
          <w:rFonts w:ascii="Book Antiqua" w:hAnsi="Book Antiqua"/>
          <w:sz w:val="24"/>
          <w:szCs w:val="24"/>
        </w:rPr>
      </w:pPr>
    </w:p>
    <w:p w14:paraId="34E0CB39" w14:textId="327BEA40" w:rsidR="001D324A" w:rsidRPr="005B0B3B" w:rsidRDefault="001D324A" w:rsidP="005B0B3B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1D324A">
        <w:rPr>
          <w:rFonts w:ascii="Book Antiqua" w:hAnsi="Book Antiqua"/>
          <w:sz w:val="24"/>
          <w:szCs w:val="24"/>
        </w:rPr>
        <w:t xml:space="preserve">General </w:t>
      </w:r>
      <w:r>
        <w:rPr>
          <w:rFonts w:ascii="Book Antiqua" w:hAnsi="Book Antiqua"/>
          <w:sz w:val="24"/>
          <w:szCs w:val="24"/>
        </w:rPr>
        <w:t>Scholarship</w:t>
      </w:r>
      <w:r w:rsidRPr="001D324A">
        <w:rPr>
          <w:rFonts w:ascii="Book Antiqua" w:hAnsi="Book Antiqua"/>
          <w:sz w:val="24"/>
          <w:szCs w:val="24"/>
        </w:rPr>
        <w:t xml:space="preserve"> Information</w:t>
      </w:r>
      <w:r w:rsidR="00E22837">
        <w:rPr>
          <w:rFonts w:ascii="Book Antiqua" w:hAnsi="Book Antiqua"/>
          <w:sz w:val="24"/>
          <w:szCs w:val="24"/>
        </w:rPr>
        <w:t xml:space="preserve"> (one awardee for eac</w:t>
      </w:r>
      <w:r w:rsidR="005B0B3B">
        <w:rPr>
          <w:rFonts w:ascii="Book Antiqua" w:hAnsi="Book Antiqua"/>
          <w:sz w:val="24"/>
          <w:szCs w:val="24"/>
        </w:rPr>
        <w:t>h</w:t>
      </w:r>
      <w:r w:rsidR="00E22837">
        <w:rPr>
          <w:rFonts w:ascii="Book Antiqua" w:hAnsi="Book Antiqua"/>
          <w:sz w:val="24"/>
          <w:szCs w:val="24"/>
        </w:rPr>
        <w:t>; prize may be not awarded)</w:t>
      </w:r>
      <w:r w:rsidR="009A6A75" w:rsidRPr="001D324A">
        <w:rPr>
          <w:rFonts w:ascii="Book Antiqua" w:hAnsi="Book Antiqua"/>
          <w:sz w:val="24"/>
          <w:szCs w:val="24"/>
        </w:rPr>
        <w:t>:</w:t>
      </w:r>
    </w:p>
    <w:tbl>
      <w:tblPr>
        <w:tblStyle w:val="TableGrid"/>
        <w:tblW w:w="7920" w:type="dxa"/>
        <w:jc w:val="center"/>
        <w:tblLook w:val="04A0" w:firstRow="1" w:lastRow="0" w:firstColumn="1" w:lastColumn="0" w:noHBand="0" w:noVBand="1"/>
      </w:tblPr>
      <w:tblGrid>
        <w:gridCol w:w="4553"/>
        <w:gridCol w:w="3367"/>
      </w:tblGrid>
      <w:tr w:rsidR="001D324A" w:rsidRPr="000011BE" w14:paraId="7302495E" w14:textId="77777777" w:rsidTr="000011BE">
        <w:trPr>
          <w:jc w:val="center"/>
        </w:trPr>
        <w:tc>
          <w:tcPr>
            <w:tcW w:w="4553" w:type="dxa"/>
            <w:hideMark/>
          </w:tcPr>
          <w:p w14:paraId="193B3B83" w14:textId="6601C574" w:rsidR="001D324A" w:rsidRPr="000A5F4E" w:rsidRDefault="001D324A" w:rsidP="000011BE">
            <w:pPr>
              <w:pStyle w:val="ListParagraph"/>
              <w:adjustRightInd w:val="0"/>
              <w:snapToGrid w:val="0"/>
              <w:spacing w:line="259" w:lineRule="auto"/>
              <w:contextualSpacing w:val="0"/>
              <w:rPr>
                <w:rFonts w:ascii="Book Antiqua" w:hAnsi="Book Antiqua"/>
                <w:b/>
                <w:sz w:val="24"/>
                <w:szCs w:val="24"/>
              </w:rPr>
            </w:pPr>
            <w:r w:rsidRPr="000A5F4E">
              <w:rPr>
                <w:rFonts w:ascii="Book Antiqua" w:hAnsi="Book Antiqua"/>
                <w:b/>
                <w:sz w:val="24"/>
                <w:szCs w:val="24"/>
              </w:rPr>
              <w:t>Scholarship Type</w:t>
            </w:r>
          </w:p>
        </w:tc>
        <w:tc>
          <w:tcPr>
            <w:tcW w:w="3367" w:type="dxa"/>
            <w:hideMark/>
          </w:tcPr>
          <w:p w14:paraId="3E9B9DD2" w14:textId="1FAA05C2" w:rsidR="001D324A" w:rsidRPr="001D324A" w:rsidRDefault="006053E7" w:rsidP="000011BE">
            <w:pPr>
              <w:pStyle w:val="ListParagraph"/>
              <w:adjustRightInd w:val="0"/>
              <w:snapToGrid w:val="0"/>
              <w:spacing w:line="259" w:lineRule="auto"/>
              <w:contextualSpacing w:val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Award</w:t>
            </w:r>
            <w:r w:rsidR="001D324A" w:rsidRPr="001D324A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1D324A" w:rsidRPr="000011BE" w14:paraId="5F84EDEE" w14:textId="77777777" w:rsidTr="000011BE">
        <w:trPr>
          <w:jc w:val="center"/>
        </w:trPr>
        <w:tc>
          <w:tcPr>
            <w:tcW w:w="4553" w:type="dxa"/>
            <w:hideMark/>
          </w:tcPr>
          <w:p w14:paraId="39C59150" w14:textId="1EFD6989" w:rsidR="001D324A" w:rsidRPr="00D84D01" w:rsidRDefault="00F01148" w:rsidP="000011BE">
            <w:pPr>
              <w:pStyle w:val="ListParagraph"/>
              <w:adjustRightInd w:val="0"/>
              <w:snapToGrid w:val="0"/>
              <w:contextualSpacing w:val="0"/>
              <w:rPr>
                <w:rFonts w:ascii="Book Antiqua" w:hAnsi="Book Antiqua"/>
                <w:sz w:val="24"/>
                <w:szCs w:val="24"/>
              </w:rPr>
            </w:pPr>
            <w:r w:rsidRPr="00D84D01">
              <w:rPr>
                <w:rFonts w:ascii="Book Antiqua" w:hAnsi="Book Antiqua"/>
                <w:bCs/>
                <w:sz w:val="24"/>
                <w:szCs w:val="24"/>
              </w:rPr>
              <w:t xml:space="preserve">Cheng-Han </w:t>
            </w:r>
            <w:r w:rsidR="000011BE" w:rsidRPr="00D84D01">
              <w:rPr>
                <w:rFonts w:ascii="Book Antiqua" w:hAnsi="Book Antiqua"/>
                <w:sz w:val="24"/>
                <w:szCs w:val="24"/>
              </w:rPr>
              <w:t>Gold</w:t>
            </w:r>
          </w:p>
        </w:tc>
        <w:tc>
          <w:tcPr>
            <w:tcW w:w="3367" w:type="dxa"/>
            <w:hideMark/>
          </w:tcPr>
          <w:p w14:paraId="4FEA0314" w14:textId="31291E05" w:rsidR="000011BE" w:rsidRPr="00D84D01" w:rsidRDefault="000011BE" w:rsidP="009F1BD7">
            <w:pPr>
              <w:pStyle w:val="ListParagraph"/>
              <w:adjustRightInd w:val="0"/>
              <w:snapToGrid w:val="0"/>
              <w:contextualSpacing w:val="0"/>
              <w:rPr>
                <w:rFonts w:ascii="Book Antiqua" w:hAnsi="Book Antiqua"/>
                <w:sz w:val="24"/>
                <w:szCs w:val="24"/>
              </w:rPr>
            </w:pPr>
            <w:r w:rsidRPr="00D84D01">
              <w:rPr>
                <w:rFonts w:ascii="Book Antiqua" w:hAnsi="Book Antiqua"/>
                <w:sz w:val="24"/>
                <w:szCs w:val="24"/>
              </w:rPr>
              <w:t xml:space="preserve">NT </w:t>
            </w:r>
            <w:r w:rsidR="001D324A" w:rsidRPr="00D84D01">
              <w:rPr>
                <w:rFonts w:ascii="Book Antiqua" w:hAnsi="Book Antiqua"/>
                <w:sz w:val="24"/>
                <w:szCs w:val="24"/>
              </w:rPr>
              <w:t>$</w:t>
            </w:r>
            <w:r w:rsidRPr="00D84D01">
              <w:rPr>
                <w:rFonts w:ascii="Book Antiqua" w:hAnsi="Book Antiqua"/>
                <w:sz w:val="24"/>
                <w:szCs w:val="24"/>
              </w:rPr>
              <w:t>200</w:t>
            </w:r>
            <w:r w:rsidR="001D324A" w:rsidRPr="00D84D01">
              <w:rPr>
                <w:rFonts w:ascii="Book Antiqua" w:hAnsi="Book Antiqua"/>
                <w:sz w:val="24"/>
                <w:szCs w:val="24"/>
              </w:rPr>
              <w:t xml:space="preserve">,000 </w:t>
            </w:r>
          </w:p>
        </w:tc>
      </w:tr>
      <w:tr w:rsidR="000011BE" w:rsidRPr="000011BE" w14:paraId="40F2BB29" w14:textId="77777777" w:rsidTr="000011BE">
        <w:trPr>
          <w:jc w:val="center"/>
        </w:trPr>
        <w:tc>
          <w:tcPr>
            <w:tcW w:w="4553" w:type="dxa"/>
          </w:tcPr>
          <w:p w14:paraId="614A9001" w14:textId="7AC65CF2" w:rsidR="000011BE" w:rsidRPr="00D84D01" w:rsidRDefault="00F01148" w:rsidP="000011BE">
            <w:pPr>
              <w:pStyle w:val="ListParagraph"/>
              <w:adjustRightInd w:val="0"/>
              <w:snapToGrid w:val="0"/>
              <w:contextualSpacing w:val="0"/>
              <w:rPr>
                <w:rFonts w:ascii="Book Antiqua" w:hAnsi="Book Antiqua"/>
                <w:sz w:val="24"/>
                <w:szCs w:val="24"/>
              </w:rPr>
            </w:pPr>
            <w:r w:rsidRPr="00D84D01">
              <w:rPr>
                <w:rFonts w:ascii="Book Antiqua" w:hAnsi="Book Antiqua"/>
                <w:bCs/>
                <w:sz w:val="24"/>
                <w:szCs w:val="24"/>
              </w:rPr>
              <w:t xml:space="preserve">Cheng-Han </w:t>
            </w:r>
            <w:r w:rsidR="006053E7" w:rsidRPr="00D84D01">
              <w:rPr>
                <w:rFonts w:ascii="Book Antiqua" w:hAnsi="Book Antiqua"/>
                <w:sz w:val="24"/>
                <w:szCs w:val="24"/>
              </w:rPr>
              <w:t>Silver</w:t>
            </w:r>
          </w:p>
        </w:tc>
        <w:tc>
          <w:tcPr>
            <w:tcW w:w="3367" w:type="dxa"/>
          </w:tcPr>
          <w:p w14:paraId="04836CD4" w14:textId="780C9287" w:rsidR="000011BE" w:rsidRPr="00D84D01" w:rsidRDefault="000011BE" w:rsidP="009F1BD7">
            <w:pPr>
              <w:pStyle w:val="ListParagraph"/>
              <w:adjustRightInd w:val="0"/>
              <w:snapToGrid w:val="0"/>
              <w:contextualSpacing w:val="0"/>
              <w:rPr>
                <w:rFonts w:ascii="Book Antiqua" w:hAnsi="Book Antiqua"/>
                <w:sz w:val="24"/>
                <w:szCs w:val="24"/>
              </w:rPr>
            </w:pPr>
            <w:r w:rsidRPr="00D84D01">
              <w:rPr>
                <w:rFonts w:ascii="Book Antiqua" w:hAnsi="Book Antiqua"/>
                <w:sz w:val="24"/>
                <w:szCs w:val="24"/>
              </w:rPr>
              <w:t>NT $150,000</w:t>
            </w:r>
          </w:p>
        </w:tc>
      </w:tr>
      <w:tr w:rsidR="000011BE" w:rsidRPr="000011BE" w14:paraId="157ED395" w14:textId="77777777" w:rsidTr="000011BE">
        <w:trPr>
          <w:jc w:val="center"/>
        </w:trPr>
        <w:tc>
          <w:tcPr>
            <w:tcW w:w="4553" w:type="dxa"/>
          </w:tcPr>
          <w:p w14:paraId="2B712B2D" w14:textId="020B589D" w:rsidR="000011BE" w:rsidRPr="000011BE" w:rsidRDefault="00F01148" w:rsidP="000011BE">
            <w:pPr>
              <w:pStyle w:val="ListParagraph"/>
              <w:adjustRightInd w:val="0"/>
              <w:snapToGrid w:val="0"/>
              <w:contextualSpacing w:val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Multi-innovation award</w:t>
            </w:r>
          </w:p>
        </w:tc>
        <w:tc>
          <w:tcPr>
            <w:tcW w:w="3367" w:type="dxa"/>
          </w:tcPr>
          <w:p w14:paraId="2F922AC0" w14:textId="088A093E" w:rsidR="000011BE" w:rsidRPr="009F1BD7" w:rsidRDefault="000011BE" w:rsidP="009F1BD7">
            <w:pPr>
              <w:pStyle w:val="ListParagraph"/>
              <w:adjustRightInd w:val="0"/>
              <w:snapToGrid w:val="0"/>
              <w:contextualSpacing w:val="0"/>
              <w:rPr>
                <w:rFonts w:ascii="Book Antiqua" w:hAnsi="Book Antiqua"/>
                <w:sz w:val="24"/>
                <w:szCs w:val="24"/>
              </w:rPr>
            </w:pPr>
            <w:r w:rsidRPr="000011BE">
              <w:rPr>
                <w:rFonts w:ascii="Book Antiqua" w:hAnsi="Book Antiqua"/>
                <w:sz w:val="24"/>
                <w:szCs w:val="24"/>
              </w:rPr>
              <w:t>NT $ 60,000</w:t>
            </w:r>
          </w:p>
        </w:tc>
      </w:tr>
      <w:tr w:rsidR="00F01148" w:rsidRPr="000011BE" w14:paraId="2EE57652" w14:textId="77777777" w:rsidTr="000011BE">
        <w:trPr>
          <w:jc w:val="center"/>
        </w:trPr>
        <w:tc>
          <w:tcPr>
            <w:tcW w:w="4553" w:type="dxa"/>
          </w:tcPr>
          <w:p w14:paraId="47E37AC5" w14:textId="3D9041C2" w:rsidR="00F01148" w:rsidRDefault="00E22837" w:rsidP="000011BE">
            <w:pPr>
              <w:pStyle w:val="ListParagraph"/>
              <w:adjustRightInd w:val="0"/>
              <w:snapToGrid w:val="0"/>
              <w:contextualSpacing w:val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Rising star award</w:t>
            </w:r>
          </w:p>
        </w:tc>
        <w:tc>
          <w:tcPr>
            <w:tcW w:w="3367" w:type="dxa"/>
          </w:tcPr>
          <w:p w14:paraId="7CE9C2DC" w14:textId="572FAF39" w:rsidR="00F01148" w:rsidRPr="000011BE" w:rsidRDefault="00F01148" w:rsidP="009F1BD7">
            <w:pPr>
              <w:pStyle w:val="ListParagraph"/>
              <w:adjustRightInd w:val="0"/>
              <w:snapToGrid w:val="0"/>
              <w:contextualSpacing w:val="0"/>
              <w:rPr>
                <w:rFonts w:ascii="Book Antiqua" w:hAnsi="Book Antiqua"/>
                <w:sz w:val="24"/>
                <w:szCs w:val="24"/>
              </w:rPr>
            </w:pPr>
            <w:r w:rsidRPr="000011BE">
              <w:rPr>
                <w:rFonts w:ascii="Book Antiqua" w:hAnsi="Book Antiqua"/>
                <w:sz w:val="24"/>
                <w:szCs w:val="24"/>
              </w:rPr>
              <w:t>NT $ 60,000</w:t>
            </w:r>
          </w:p>
        </w:tc>
      </w:tr>
      <w:tr w:rsidR="00F01148" w:rsidRPr="000011BE" w14:paraId="108DA052" w14:textId="77777777" w:rsidTr="000011BE">
        <w:trPr>
          <w:jc w:val="center"/>
        </w:trPr>
        <w:tc>
          <w:tcPr>
            <w:tcW w:w="4553" w:type="dxa"/>
          </w:tcPr>
          <w:p w14:paraId="44DF585E" w14:textId="643BE137" w:rsidR="00F01148" w:rsidRPr="000A5F4E" w:rsidRDefault="00F01148" w:rsidP="000011BE">
            <w:pPr>
              <w:pStyle w:val="ListParagraph"/>
              <w:adjustRightInd w:val="0"/>
              <w:snapToGrid w:val="0"/>
              <w:contextualSpacing w:val="0"/>
              <w:rPr>
                <w:rFonts w:ascii="Book Antiqua" w:hAnsi="Book Antiqua"/>
                <w:b/>
                <w:sz w:val="24"/>
                <w:szCs w:val="24"/>
              </w:rPr>
            </w:pPr>
            <w:r w:rsidRPr="000A5F4E">
              <w:rPr>
                <w:rFonts w:ascii="Book Antiqua" w:hAnsi="Book Antiqua"/>
                <w:b/>
                <w:sz w:val="24"/>
                <w:szCs w:val="24"/>
              </w:rPr>
              <w:t>Total</w:t>
            </w:r>
          </w:p>
        </w:tc>
        <w:tc>
          <w:tcPr>
            <w:tcW w:w="3367" w:type="dxa"/>
          </w:tcPr>
          <w:p w14:paraId="474DD914" w14:textId="69EAF210" w:rsidR="00F01148" w:rsidRPr="000011BE" w:rsidRDefault="00F01148" w:rsidP="009F1BD7">
            <w:pPr>
              <w:pStyle w:val="ListParagraph"/>
              <w:adjustRightInd w:val="0"/>
              <w:snapToGrid w:val="0"/>
              <w:contextualSpacing w:val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NT $ 470,000</w:t>
            </w:r>
          </w:p>
        </w:tc>
      </w:tr>
    </w:tbl>
    <w:p w14:paraId="17F38838" w14:textId="77777777" w:rsidR="006053E7" w:rsidRPr="001D324A" w:rsidRDefault="006053E7" w:rsidP="001D324A">
      <w:pPr>
        <w:pStyle w:val="ListParagraph"/>
        <w:rPr>
          <w:rFonts w:ascii="Book Antiqua" w:hAnsi="Book Antiqua"/>
          <w:sz w:val="24"/>
          <w:szCs w:val="24"/>
        </w:rPr>
      </w:pPr>
    </w:p>
    <w:p w14:paraId="06CB87C5" w14:textId="1B55D14B" w:rsidR="00313B79" w:rsidRDefault="001B29E7" w:rsidP="009A6A7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1D324A">
        <w:rPr>
          <w:rFonts w:ascii="Book Antiqua" w:hAnsi="Book Antiqua"/>
          <w:sz w:val="24"/>
          <w:szCs w:val="24"/>
        </w:rPr>
        <w:t>Application Requirements</w:t>
      </w:r>
      <w:r w:rsidR="009F1BD7">
        <w:rPr>
          <w:rFonts w:ascii="Book Antiqua" w:hAnsi="Book Antiqua"/>
          <w:sz w:val="24"/>
          <w:szCs w:val="24"/>
        </w:rPr>
        <w:t xml:space="preserve"> and Procedures</w:t>
      </w:r>
      <w:r w:rsidRPr="001D324A">
        <w:rPr>
          <w:rFonts w:ascii="Book Antiqua" w:hAnsi="Book Antiqua"/>
          <w:sz w:val="24"/>
          <w:szCs w:val="24"/>
        </w:rPr>
        <w:t xml:space="preserve">: </w:t>
      </w:r>
      <w:r w:rsidR="009F1BD7">
        <w:rPr>
          <w:rFonts w:ascii="Book Antiqua" w:hAnsi="Book Antiqua"/>
          <w:sz w:val="24"/>
          <w:szCs w:val="24"/>
        </w:rPr>
        <w:t>The associated procedures will be a</w:t>
      </w:r>
      <w:r w:rsidR="009A6A75" w:rsidRPr="001D324A">
        <w:rPr>
          <w:rFonts w:ascii="Book Antiqua" w:hAnsi="Book Antiqua"/>
          <w:sz w:val="24"/>
          <w:szCs w:val="24"/>
        </w:rPr>
        <w:t xml:space="preserve">nnounced </w:t>
      </w:r>
      <w:r w:rsidR="009F1BD7">
        <w:rPr>
          <w:rFonts w:ascii="Book Antiqua" w:hAnsi="Book Antiqua"/>
          <w:sz w:val="24"/>
          <w:szCs w:val="24"/>
        </w:rPr>
        <w:t>in</w:t>
      </w:r>
      <w:r w:rsidR="009A6A75" w:rsidRPr="001D324A">
        <w:rPr>
          <w:rFonts w:ascii="Book Antiqua" w:hAnsi="Book Antiqua"/>
          <w:sz w:val="24"/>
          <w:szCs w:val="24"/>
        </w:rPr>
        <w:t xml:space="preserve"> May </w:t>
      </w:r>
      <w:r w:rsidR="00690175">
        <w:rPr>
          <w:rFonts w:ascii="Book Antiqua" w:hAnsi="Book Antiqua"/>
          <w:sz w:val="24"/>
          <w:szCs w:val="24"/>
        </w:rPr>
        <w:t>every</w:t>
      </w:r>
      <w:r w:rsidR="009A6A75" w:rsidRPr="001D324A">
        <w:rPr>
          <w:rFonts w:ascii="Book Antiqua" w:hAnsi="Book Antiqua"/>
          <w:sz w:val="24"/>
          <w:szCs w:val="24"/>
        </w:rPr>
        <w:t xml:space="preserve"> year</w:t>
      </w:r>
      <w:r w:rsidR="00EE6DE8">
        <w:rPr>
          <w:rFonts w:ascii="Book Antiqua" w:hAnsi="Book Antiqua"/>
          <w:sz w:val="24"/>
          <w:szCs w:val="24"/>
        </w:rPr>
        <w:t>. T</w:t>
      </w:r>
      <w:r w:rsidR="00690175">
        <w:rPr>
          <w:rFonts w:ascii="Book Antiqua" w:hAnsi="Book Antiqua"/>
          <w:sz w:val="24"/>
          <w:szCs w:val="24"/>
        </w:rPr>
        <w:t>he application</w:t>
      </w:r>
      <w:r w:rsidR="00EE6DE8">
        <w:rPr>
          <w:rFonts w:ascii="Book Antiqua" w:hAnsi="Book Antiqua"/>
          <w:sz w:val="24"/>
          <w:szCs w:val="24"/>
        </w:rPr>
        <w:t xml:space="preserve"> is open in June and July. T</w:t>
      </w:r>
      <w:r w:rsidR="00313B79">
        <w:rPr>
          <w:rFonts w:ascii="Book Antiqua" w:hAnsi="Book Antiqua"/>
          <w:sz w:val="24"/>
          <w:szCs w:val="24"/>
        </w:rPr>
        <w:t>he first and second round</w:t>
      </w:r>
      <w:r w:rsidR="00EE6DE8">
        <w:rPr>
          <w:rFonts w:ascii="Book Antiqua" w:hAnsi="Book Antiqua"/>
          <w:sz w:val="24"/>
          <w:szCs w:val="24"/>
        </w:rPr>
        <w:t>s</w:t>
      </w:r>
      <w:r w:rsidR="00313B79">
        <w:rPr>
          <w:rFonts w:ascii="Book Antiqua" w:hAnsi="Book Antiqua"/>
          <w:sz w:val="24"/>
          <w:szCs w:val="24"/>
        </w:rPr>
        <w:t xml:space="preserve"> of review will </w:t>
      </w:r>
      <w:proofErr w:type="gramStart"/>
      <w:r w:rsidR="00313B79">
        <w:rPr>
          <w:rFonts w:ascii="Book Antiqua" w:hAnsi="Book Antiqua"/>
          <w:sz w:val="24"/>
          <w:szCs w:val="24"/>
        </w:rPr>
        <w:t>conducted</w:t>
      </w:r>
      <w:proofErr w:type="gramEnd"/>
      <w:r w:rsidR="00313B79">
        <w:rPr>
          <w:rFonts w:ascii="Book Antiqua" w:hAnsi="Book Antiqua"/>
          <w:sz w:val="24"/>
          <w:szCs w:val="24"/>
        </w:rPr>
        <w:t xml:space="preserve"> in August and September, respectively</w:t>
      </w:r>
      <w:r w:rsidR="009A6A75" w:rsidRPr="001D324A">
        <w:rPr>
          <w:rFonts w:ascii="Book Antiqua" w:hAnsi="Book Antiqua"/>
          <w:sz w:val="24"/>
          <w:szCs w:val="24"/>
        </w:rPr>
        <w:t xml:space="preserve">. </w:t>
      </w:r>
    </w:p>
    <w:p w14:paraId="050CA8FE" w14:textId="4253C66E" w:rsidR="001B29E7" w:rsidRPr="001D324A" w:rsidRDefault="00EE6DE8" w:rsidP="00313B79">
      <w:pPr>
        <w:pStyle w:val="ListParagraph"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sz w:val="24"/>
          <w:szCs w:val="24"/>
        </w:rPr>
        <w:t>The a</w:t>
      </w:r>
      <w:r w:rsidR="00313B79">
        <w:rPr>
          <w:rFonts w:ascii="Book Antiqua" w:hAnsi="Book Antiqua" w:hint="eastAsia"/>
          <w:sz w:val="24"/>
          <w:szCs w:val="24"/>
        </w:rPr>
        <w:t>p</w:t>
      </w:r>
      <w:r w:rsidR="00313B79">
        <w:rPr>
          <w:rFonts w:ascii="Book Antiqua" w:hAnsi="Book Antiqua"/>
          <w:sz w:val="24"/>
          <w:szCs w:val="24"/>
        </w:rPr>
        <w:t>plicant(s) shall s</w:t>
      </w:r>
      <w:r w:rsidR="001B29E7" w:rsidRPr="001D324A">
        <w:rPr>
          <w:rFonts w:ascii="Book Antiqua" w:hAnsi="Book Antiqua"/>
          <w:sz w:val="24"/>
          <w:szCs w:val="24"/>
        </w:rPr>
        <w:t xml:space="preserve">ubmit the following documents as </w:t>
      </w:r>
      <w:r w:rsidR="00313B79">
        <w:rPr>
          <w:rFonts w:ascii="Book Antiqua" w:hAnsi="Book Antiqua"/>
          <w:sz w:val="24"/>
          <w:szCs w:val="24"/>
        </w:rPr>
        <w:t>one</w:t>
      </w:r>
      <w:r w:rsidR="001B29E7" w:rsidRPr="001D324A">
        <w:rPr>
          <w:rFonts w:ascii="Book Antiqua" w:hAnsi="Book Antiqua"/>
          <w:sz w:val="24"/>
          <w:szCs w:val="24"/>
        </w:rPr>
        <w:t xml:space="preserve"> pdf </w:t>
      </w:r>
      <w:r w:rsidR="00313B79">
        <w:rPr>
          <w:rFonts w:ascii="Book Antiqua" w:hAnsi="Book Antiqua"/>
          <w:sz w:val="24"/>
          <w:szCs w:val="24"/>
        </w:rPr>
        <w:t>file:</w:t>
      </w:r>
    </w:p>
    <w:p w14:paraId="24976603" w14:textId="74D1F261" w:rsidR="001B29E7" w:rsidRPr="001D324A" w:rsidRDefault="00313B79" w:rsidP="001B29E7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application </w:t>
      </w:r>
      <w:r w:rsidR="009A6A75" w:rsidRPr="001D324A">
        <w:rPr>
          <w:rFonts w:ascii="Book Antiqua" w:hAnsi="Book Antiqua"/>
          <w:sz w:val="24"/>
          <w:szCs w:val="24"/>
        </w:rPr>
        <w:t>form from CBA-NTU</w:t>
      </w:r>
    </w:p>
    <w:p w14:paraId="4CBF4247" w14:textId="354C5EFC" w:rsidR="001B29E7" w:rsidRPr="001D324A" w:rsidRDefault="00313B79" w:rsidP="001B29E7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 declaration of legal liability</w:t>
      </w:r>
    </w:p>
    <w:p w14:paraId="32EE3B1A" w14:textId="7AD6EF3E" w:rsidR="001B29E7" w:rsidRPr="001D324A" w:rsidRDefault="001B29E7" w:rsidP="001B29E7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1D324A">
        <w:rPr>
          <w:rFonts w:ascii="Book Antiqua" w:hAnsi="Book Antiqua"/>
          <w:sz w:val="24"/>
          <w:szCs w:val="24"/>
        </w:rPr>
        <w:t>A recommend</w:t>
      </w:r>
      <w:r w:rsidR="009F01C8">
        <w:rPr>
          <w:rFonts w:ascii="Book Antiqua" w:hAnsi="Book Antiqua"/>
          <w:sz w:val="24"/>
          <w:szCs w:val="24"/>
        </w:rPr>
        <w:t>ation</w:t>
      </w:r>
      <w:r w:rsidRPr="001D324A">
        <w:rPr>
          <w:rFonts w:ascii="Book Antiqua" w:hAnsi="Book Antiqua"/>
          <w:sz w:val="24"/>
          <w:szCs w:val="24"/>
        </w:rPr>
        <w:t xml:space="preserve"> letter from </w:t>
      </w:r>
      <w:r w:rsidR="00690175">
        <w:rPr>
          <w:rFonts w:ascii="Book Antiqua" w:hAnsi="Book Antiqua"/>
          <w:sz w:val="24"/>
          <w:szCs w:val="24"/>
        </w:rPr>
        <w:t xml:space="preserve">their </w:t>
      </w:r>
      <w:r w:rsidR="00313B79">
        <w:rPr>
          <w:rFonts w:ascii="Book Antiqua" w:hAnsi="Book Antiqua"/>
          <w:sz w:val="24"/>
          <w:szCs w:val="24"/>
        </w:rPr>
        <w:t>advisor(s)</w:t>
      </w:r>
      <w:r w:rsidRPr="001D324A">
        <w:rPr>
          <w:rFonts w:ascii="Book Antiqua" w:hAnsi="Book Antiqua"/>
          <w:sz w:val="24"/>
          <w:szCs w:val="24"/>
        </w:rPr>
        <w:t xml:space="preserve">. </w:t>
      </w:r>
    </w:p>
    <w:p w14:paraId="51C184E1" w14:textId="533901FA" w:rsidR="001B29E7" w:rsidRPr="001D324A" w:rsidRDefault="00313B79" w:rsidP="001B29E7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 list of publications, patents, and awards</w:t>
      </w:r>
      <w:r w:rsidR="00E22837">
        <w:rPr>
          <w:rFonts w:ascii="Book Antiqua" w:hAnsi="Book Antiqua"/>
          <w:sz w:val="24"/>
          <w:szCs w:val="24"/>
        </w:rPr>
        <w:t xml:space="preserve"> (not required): may include research papers, conference papers, posters, list of awards, patent applied or awarded, and other relevant records. </w:t>
      </w:r>
      <w:r w:rsidR="001B29E7" w:rsidRPr="001D324A">
        <w:rPr>
          <w:rFonts w:ascii="Book Antiqua" w:hAnsi="Book Antiqua"/>
          <w:sz w:val="24"/>
          <w:szCs w:val="24"/>
        </w:rPr>
        <w:br/>
      </w:r>
    </w:p>
    <w:p w14:paraId="18761C5F" w14:textId="215F9E35" w:rsidR="000011BE" w:rsidRPr="00690175" w:rsidRDefault="009A6A75" w:rsidP="000011BE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690175">
        <w:rPr>
          <w:rFonts w:ascii="Book Antiqua" w:hAnsi="Book Antiqua"/>
          <w:sz w:val="24"/>
          <w:szCs w:val="24"/>
        </w:rPr>
        <w:t xml:space="preserve">Evaluation Process: </w:t>
      </w:r>
    </w:p>
    <w:p w14:paraId="694D0F81" w14:textId="325ECC4F" w:rsidR="009A6A75" w:rsidRPr="00690175" w:rsidRDefault="00313B79" w:rsidP="009A6A75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690175">
        <w:rPr>
          <w:rFonts w:ascii="Book Antiqua" w:hAnsi="Book Antiqua"/>
          <w:sz w:val="24"/>
          <w:szCs w:val="24"/>
        </w:rPr>
        <w:t>The first-round review will be based on the application materials submitted.</w:t>
      </w:r>
      <w:r w:rsidR="00E22837">
        <w:rPr>
          <w:rFonts w:ascii="Book Antiqua" w:hAnsi="Book Antiqua"/>
          <w:sz w:val="24"/>
          <w:szCs w:val="24"/>
        </w:rPr>
        <w:t xml:space="preserve"> The award committee will review the materials submitted by the deadline. </w:t>
      </w:r>
    </w:p>
    <w:p w14:paraId="58BF98C4" w14:textId="31119350" w:rsidR="00E22837" w:rsidRDefault="00313B79" w:rsidP="000011BE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690175">
        <w:rPr>
          <w:rFonts w:ascii="Book Antiqua" w:hAnsi="Book Antiqua"/>
          <w:sz w:val="24"/>
          <w:szCs w:val="24"/>
        </w:rPr>
        <w:t>Applicant(s) who are selected into the second round of review will present the</w:t>
      </w:r>
      <w:r w:rsidR="0059012D">
        <w:rPr>
          <w:rFonts w:ascii="Book Antiqua" w:hAnsi="Book Antiqua"/>
          <w:sz w:val="24"/>
          <w:szCs w:val="24"/>
        </w:rPr>
        <w:t>ir</w:t>
      </w:r>
      <w:r w:rsidRPr="00690175">
        <w:rPr>
          <w:rFonts w:ascii="Book Antiqua" w:hAnsi="Book Antiqua"/>
          <w:sz w:val="24"/>
          <w:szCs w:val="24"/>
        </w:rPr>
        <w:t xml:space="preserve"> research to </w:t>
      </w:r>
      <w:r w:rsidR="0059012D">
        <w:rPr>
          <w:rFonts w:ascii="Book Antiqua" w:hAnsi="Book Antiqua"/>
          <w:sz w:val="24"/>
          <w:szCs w:val="24"/>
        </w:rPr>
        <w:t>a</w:t>
      </w:r>
      <w:r w:rsidRPr="00690175">
        <w:rPr>
          <w:rFonts w:ascii="Book Antiqua" w:hAnsi="Book Antiqua"/>
          <w:sz w:val="24"/>
          <w:szCs w:val="24"/>
        </w:rPr>
        <w:t xml:space="preserve"> </w:t>
      </w:r>
      <w:r w:rsidR="00B76167" w:rsidRPr="00690175">
        <w:rPr>
          <w:rFonts w:ascii="Book Antiqua" w:hAnsi="Book Antiqua"/>
          <w:sz w:val="24"/>
          <w:szCs w:val="24"/>
        </w:rPr>
        <w:t xml:space="preserve">committee </w:t>
      </w:r>
      <w:r w:rsidR="0059012D">
        <w:rPr>
          <w:rFonts w:ascii="Book Antiqua" w:hAnsi="Book Antiqua"/>
          <w:sz w:val="24"/>
          <w:szCs w:val="24"/>
        </w:rPr>
        <w:t>consisting</w:t>
      </w:r>
      <w:r w:rsidRPr="00690175">
        <w:rPr>
          <w:rFonts w:ascii="Book Antiqua" w:hAnsi="Book Antiqua"/>
          <w:sz w:val="24"/>
          <w:szCs w:val="24"/>
        </w:rPr>
        <w:t xml:space="preserve"> of</w:t>
      </w:r>
      <w:r w:rsidR="00B76167" w:rsidRPr="00690175">
        <w:rPr>
          <w:rFonts w:ascii="Book Antiqua" w:hAnsi="Book Antiqua"/>
          <w:sz w:val="24"/>
          <w:szCs w:val="24"/>
        </w:rPr>
        <w:t xml:space="preserve"> </w:t>
      </w:r>
      <w:r w:rsidRPr="00690175">
        <w:rPr>
          <w:rFonts w:ascii="Book Antiqua" w:hAnsi="Book Antiqua"/>
          <w:sz w:val="24"/>
          <w:szCs w:val="24"/>
        </w:rPr>
        <w:t xml:space="preserve">representatives from </w:t>
      </w:r>
      <w:r w:rsidR="001D324A" w:rsidRPr="00690175">
        <w:rPr>
          <w:rFonts w:ascii="Book Antiqua" w:hAnsi="Book Antiqua"/>
          <w:sz w:val="24"/>
          <w:szCs w:val="24"/>
        </w:rPr>
        <w:t>CH Biotech and</w:t>
      </w:r>
      <w:r w:rsidR="00B76167" w:rsidRPr="00690175">
        <w:rPr>
          <w:rFonts w:ascii="Book Antiqua" w:hAnsi="Book Antiqua"/>
          <w:sz w:val="24"/>
          <w:szCs w:val="24"/>
        </w:rPr>
        <w:t xml:space="preserve"> </w:t>
      </w:r>
      <w:r w:rsidRPr="00690175">
        <w:rPr>
          <w:rFonts w:ascii="Book Antiqua" w:hAnsi="Book Antiqua"/>
          <w:sz w:val="24"/>
          <w:szCs w:val="24"/>
        </w:rPr>
        <w:t>experts in the area</w:t>
      </w:r>
      <w:r w:rsidR="0059012D">
        <w:rPr>
          <w:rFonts w:ascii="Book Antiqua" w:hAnsi="Book Antiqua"/>
          <w:sz w:val="24"/>
          <w:szCs w:val="24"/>
        </w:rPr>
        <w:t>,</w:t>
      </w:r>
      <w:r w:rsidRPr="00690175">
        <w:rPr>
          <w:rFonts w:ascii="Book Antiqua" w:hAnsi="Book Antiqua"/>
          <w:sz w:val="24"/>
          <w:szCs w:val="24"/>
        </w:rPr>
        <w:t xml:space="preserve"> and chaired by the dean of the CBA.</w:t>
      </w:r>
    </w:p>
    <w:p w14:paraId="0A00DF2D" w14:textId="2DDCF125" w:rsidR="00E22837" w:rsidRDefault="00E22837" w:rsidP="000011BE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award committee will be chaired by the dean of CBA. Committee members will </w:t>
      </w:r>
      <w:r w:rsidR="0059012D">
        <w:rPr>
          <w:rFonts w:ascii="Book Antiqua" w:hAnsi="Book Antiqua"/>
          <w:sz w:val="24"/>
          <w:szCs w:val="24"/>
        </w:rPr>
        <w:t>consist</w:t>
      </w:r>
      <w:r>
        <w:rPr>
          <w:rFonts w:ascii="Book Antiqua" w:hAnsi="Book Antiqua"/>
          <w:sz w:val="24"/>
          <w:szCs w:val="24"/>
        </w:rPr>
        <w:t xml:space="preserve"> of domestic and international experts in the area of agriculture and </w:t>
      </w:r>
      <w:proofErr w:type="gramStart"/>
      <w:r>
        <w:rPr>
          <w:rFonts w:ascii="Book Antiqua" w:hAnsi="Book Antiqua"/>
          <w:sz w:val="24"/>
          <w:szCs w:val="24"/>
        </w:rPr>
        <w:t>bio-tech</w:t>
      </w:r>
      <w:proofErr w:type="gramEnd"/>
      <w:r>
        <w:rPr>
          <w:rFonts w:ascii="Book Antiqua" w:hAnsi="Book Antiqua"/>
          <w:sz w:val="24"/>
          <w:szCs w:val="24"/>
        </w:rPr>
        <w:t xml:space="preserve"> and representatives from the </w:t>
      </w:r>
      <w:r w:rsidRPr="00E22837">
        <w:rPr>
          <w:rFonts w:ascii="Book Antiqua" w:hAnsi="Book Antiqua"/>
          <w:sz w:val="24"/>
          <w:szCs w:val="24"/>
        </w:rPr>
        <w:t>Cheng-Han</w:t>
      </w:r>
      <w:r>
        <w:rPr>
          <w:rFonts w:ascii="Book Antiqua" w:hAnsi="Book Antiqua"/>
          <w:sz w:val="24"/>
          <w:szCs w:val="24"/>
        </w:rPr>
        <w:t xml:space="preserve"> Bio-tech. </w:t>
      </w:r>
    </w:p>
    <w:p w14:paraId="698A3F5E" w14:textId="77777777" w:rsidR="00E22837" w:rsidRDefault="00E22837" w:rsidP="00E22837">
      <w:pPr>
        <w:pStyle w:val="ListParagraph"/>
        <w:ind w:left="1080"/>
        <w:rPr>
          <w:rFonts w:ascii="Book Antiqua" w:hAnsi="Book Antiqua"/>
          <w:sz w:val="24"/>
          <w:szCs w:val="24"/>
        </w:rPr>
      </w:pPr>
    </w:p>
    <w:p w14:paraId="06983A13" w14:textId="77777777" w:rsidR="00E22837" w:rsidRPr="001E26F4" w:rsidRDefault="00E22837" w:rsidP="00E2283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regulations are effective immediately upon the approval by the college meeting. </w:t>
      </w:r>
    </w:p>
    <w:p w14:paraId="0EE974B7" w14:textId="2CE5CA8C" w:rsidR="00D43DF5" w:rsidRPr="00E22837" w:rsidRDefault="000011BE" w:rsidP="00E22837">
      <w:pPr>
        <w:ind w:left="360"/>
        <w:rPr>
          <w:rFonts w:ascii="Book Antiqua" w:hAnsi="Book Antiqua"/>
          <w:sz w:val="24"/>
          <w:szCs w:val="24"/>
        </w:rPr>
      </w:pPr>
      <w:r w:rsidRPr="00E22837">
        <w:rPr>
          <w:rFonts w:ascii="Book Antiqua" w:hAnsi="Book Antiqua"/>
          <w:sz w:val="24"/>
          <w:szCs w:val="24"/>
        </w:rPr>
        <w:br/>
      </w:r>
      <w:bookmarkStart w:id="2" w:name="_GoBack"/>
      <w:bookmarkEnd w:id="2"/>
    </w:p>
    <w:sectPr w:rsidR="00D43DF5" w:rsidRPr="00E2283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019BA" w14:textId="77777777" w:rsidR="00EE0AEE" w:rsidRDefault="00EE0AEE" w:rsidP="00A37B20">
      <w:pPr>
        <w:spacing w:after="0" w:line="240" w:lineRule="auto"/>
      </w:pPr>
      <w:r>
        <w:separator/>
      </w:r>
    </w:p>
  </w:endnote>
  <w:endnote w:type="continuationSeparator" w:id="0">
    <w:p w14:paraId="4C685FBC" w14:textId="77777777" w:rsidR="00EE0AEE" w:rsidRDefault="00EE0AEE" w:rsidP="00A3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973D6" w14:textId="77777777" w:rsidR="00EE0AEE" w:rsidRDefault="00EE0AE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166450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166450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57963C1A" w14:textId="77777777" w:rsidR="00EE0AEE" w:rsidRDefault="00EE0AE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8E237" w14:textId="77777777" w:rsidR="00EE0AEE" w:rsidRDefault="00EE0AEE" w:rsidP="00A37B20">
      <w:pPr>
        <w:spacing w:after="0" w:line="240" w:lineRule="auto"/>
      </w:pPr>
      <w:r>
        <w:separator/>
      </w:r>
    </w:p>
  </w:footnote>
  <w:footnote w:type="continuationSeparator" w:id="0">
    <w:p w14:paraId="78647B9E" w14:textId="77777777" w:rsidR="00EE0AEE" w:rsidRDefault="00EE0AEE" w:rsidP="00A37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5DC"/>
    <w:multiLevelType w:val="hybridMultilevel"/>
    <w:tmpl w:val="B900C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35209C"/>
    <w:multiLevelType w:val="hybridMultilevel"/>
    <w:tmpl w:val="F912A946"/>
    <w:lvl w:ilvl="0" w:tplc="54164E5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873E7E"/>
    <w:multiLevelType w:val="hybridMultilevel"/>
    <w:tmpl w:val="26562666"/>
    <w:lvl w:ilvl="0" w:tplc="802C755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4727EB"/>
    <w:multiLevelType w:val="hybridMultilevel"/>
    <w:tmpl w:val="5B8462A8"/>
    <w:lvl w:ilvl="0" w:tplc="386030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CA4A2E"/>
    <w:multiLevelType w:val="hybridMultilevel"/>
    <w:tmpl w:val="EDCC5A4C"/>
    <w:lvl w:ilvl="0" w:tplc="B6485F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D578F0"/>
    <w:multiLevelType w:val="hybridMultilevel"/>
    <w:tmpl w:val="B5760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A4"/>
    <w:rsid w:val="000011BE"/>
    <w:rsid w:val="0006235B"/>
    <w:rsid w:val="00073E3D"/>
    <w:rsid w:val="00075C36"/>
    <w:rsid w:val="000A5F4E"/>
    <w:rsid w:val="00166450"/>
    <w:rsid w:val="001B29E7"/>
    <w:rsid w:val="001D324A"/>
    <w:rsid w:val="00240DC3"/>
    <w:rsid w:val="00313B79"/>
    <w:rsid w:val="00366721"/>
    <w:rsid w:val="00442D7F"/>
    <w:rsid w:val="00470174"/>
    <w:rsid w:val="004941D3"/>
    <w:rsid w:val="005138CC"/>
    <w:rsid w:val="0059012D"/>
    <w:rsid w:val="005A4B0A"/>
    <w:rsid w:val="005B0B3B"/>
    <w:rsid w:val="005F4CA9"/>
    <w:rsid w:val="006053E7"/>
    <w:rsid w:val="00647765"/>
    <w:rsid w:val="00690175"/>
    <w:rsid w:val="00794F93"/>
    <w:rsid w:val="00827F6B"/>
    <w:rsid w:val="00870397"/>
    <w:rsid w:val="009A6A75"/>
    <w:rsid w:val="009D7644"/>
    <w:rsid w:val="009F01C8"/>
    <w:rsid w:val="009F1BD7"/>
    <w:rsid w:val="009F73ED"/>
    <w:rsid w:val="00A37B20"/>
    <w:rsid w:val="00A765D3"/>
    <w:rsid w:val="00A95549"/>
    <w:rsid w:val="00AA5AE2"/>
    <w:rsid w:val="00B72F04"/>
    <w:rsid w:val="00B76167"/>
    <w:rsid w:val="00B802B5"/>
    <w:rsid w:val="00BE3A02"/>
    <w:rsid w:val="00C15CA4"/>
    <w:rsid w:val="00D10E35"/>
    <w:rsid w:val="00D43DF5"/>
    <w:rsid w:val="00D84D01"/>
    <w:rsid w:val="00E20BE3"/>
    <w:rsid w:val="00E22837"/>
    <w:rsid w:val="00E279C1"/>
    <w:rsid w:val="00EE0AEE"/>
    <w:rsid w:val="00EE6DE8"/>
    <w:rsid w:val="00EF0730"/>
    <w:rsid w:val="00F01148"/>
    <w:rsid w:val="00F92FBD"/>
    <w:rsid w:val="00F93C13"/>
    <w:rsid w:val="00FD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B04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D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7B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B20"/>
  </w:style>
  <w:style w:type="paragraph" w:styleId="Footer">
    <w:name w:val="footer"/>
    <w:basedOn w:val="Normal"/>
    <w:link w:val="FooterChar"/>
    <w:uiPriority w:val="99"/>
    <w:unhideWhenUsed/>
    <w:rsid w:val="00A37B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B20"/>
  </w:style>
  <w:style w:type="table" w:styleId="TableGrid">
    <w:name w:val="Table Grid"/>
    <w:basedOn w:val="TableNormal"/>
    <w:uiPriority w:val="39"/>
    <w:rsid w:val="0000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D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7B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B20"/>
  </w:style>
  <w:style w:type="paragraph" w:styleId="Footer">
    <w:name w:val="footer"/>
    <w:basedOn w:val="Normal"/>
    <w:link w:val="FooterChar"/>
    <w:uiPriority w:val="99"/>
    <w:unhideWhenUsed/>
    <w:rsid w:val="00A37B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B20"/>
  </w:style>
  <w:style w:type="table" w:styleId="TableGrid">
    <w:name w:val="Table Grid"/>
    <w:basedOn w:val="TableNormal"/>
    <w:uiPriority w:val="39"/>
    <w:rsid w:val="0000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468</Words>
  <Characters>2671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C.lin</dc:creator>
  <cp:keywords/>
  <dc:description/>
  <cp:lastModifiedBy>Matan Shelomi</cp:lastModifiedBy>
  <cp:revision>14</cp:revision>
  <dcterms:created xsi:type="dcterms:W3CDTF">2020-07-11T05:05:00Z</dcterms:created>
  <dcterms:modified xsi:type="dcterms:W3CDTF">2020-12-29T07:42:00Z</dcterms:modified>
</cp:coreProperties>
</file>